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1F30" w14:textId="77777777" w:rsidR="001B2AAE" w:rsidRDefault="00213CF7" w:rsidP="00213CF7">
      <w:pPr>
        <w:pStyle w:val="Default"/>
        <w:jc w:val="center"/>
        <w:rPr>
          <w:b/>
        </w:rPr>
      </w:pPr>
      <w:r w:rsidRPr="00213CF7">
        <w:rPr>
          <w:b/>
        </w:rPr>
        <w:t xml:space="preserve">Benjamin Schneider, </w:t>
      </w:r>
      <w:r w:rsidR="001B2AAE">
        <w:rPr>
          <w:b/>
        </w:rPr>
        <w:t>PhD</w:t>
      </w:r>
    </w:p>
    <w:p w14:paraId="50648519" w14:textId="26539963" w:rsidR="00ED67D5" w:rsidRPr="00213CF7" w:rsidRDefault="00213CF7" w:rsidP="00213CF7">
      <w:pPr>
        <w:pStyle w:val="Default"/>
        <w:jc w:val="center"/>
        <w:rPr>
          <w:b/>
        </w:rPr>
      </w:pPr>
      <w:r w:rsidRPr="00213CF7">
        <w:rPr>
          <w:b/>
        </w:rPr>
        <w:t>Brief CV</w:t>
      </w:r>
    </w:p>
    <w:p w14:paraId="3B52F922" w14:textId="77777777" w:rsidR="00213CF7" w:rsidRDefault="00213CF7" w:rsidP="00ED67D5">
      <w:pPr>
        <w:pStyle w:val="Default"/>
      </w:pPr>
    </w:p>
    <w:p w14:paraId="792C7127" w14:textId="31C55542" w:rsidR="00540F98" w:rsidRDefault="00ED67D5" w:rsidP="00ED67D5">
      <w:pPr>
        <w:pStyle w:val="Default"/>
        <w:rPr>
          <w:sz w:val="22"/>
          <w:szCs w:val="22"/>
        </w:rPr>
      </w:pPr>
      <w:r>
        <w:rPr>
          <w:b/>
          <w:bCs/>
          <w:sz w:val="23"/>
          <w:szCs w:val="23"/>
        </w:rPr>
        <w:t xml:space="preserve">Benjamin Schneider </w:t>
      </w:r>
      <w:r>
        <w:rPr>
          <w:sz w:val="22"/>
          <w:szCs w:val="22"/>
        </w:rPr>
        <w:t xml:space="preserve">is Professor Emeritus of Psychology at the University of Maryland. From 1982 to 2003 (also 1971-1979) Ben was Head of the Industrial and Organizational (I/O) Psychology Program at Maryland. </w:t>
      </w:r>
      <w:r w:rsidR="001B2AAE">
        <w:rPr>
          <w:sz w:val="22"/>
          <w:szCs w:val="22"/>
        </w:rPr>
        <w:t>He has also taught at Yale University, Michigan State University&lt; Dartmouth and the University of Aix-</w:t>
      </w:r>
      <w:proofErr w:type="spellStart"/>
      <w:r w:rsidR="001B2AAE">
        <w:rPr>
          <w:sz w:val="22"/>
          <w:szCs w:val="22"/>
        </w:rPr>
        <w:t>Marseiile</w:t>
      </w:r>
      <w:proofErr w:type="spellEnd"/>
      <w:r w:rsidR="001B2AAE">
        <w:rPr>
          <w:sz w:val="22"/>
          <w:szCs w:val="22"/>
        </w:rPr>
        <w:t xml:space="preserve"> and did a Fulbright at Bar-Ilan University in Israel. </w:t>
      </w:r>
      <w:r>
        <w:rPr>
          <w:sz w:val="22"/>
          <w:szCs w:val="22"/>
        </w:rPr>
        <w:t xml:space="preserve">From 2003-2016 he was at </w:t>
      </w:r>
      <w:proofErr w:type="spellStart"/>
      <w:r>
        <w:rPr>
          <w:sz w:val="22"/>
          <w:szCs w:val="22"/>
        </w:rPr>
        <w:t>Valte</w:t>
      </w:r>
      <w:r w:rsidR="00193CCB">
        <w:rPr>
          <w:sz w:val="22"/>
          <w:szCs w:val="22"/>
        </w:rPr>
        <w:t>ra</w:t>
      </w:r>
      <w:proofErr w:type="spellEnd"/>
      <w:r w:rsidR="00193CCB">
        <w:rPr>
          <w:sz w:val="22"/>
          <w:szCs w:val="22"/>
        </w:rPr>
        <w:t xml:space="preserve"> and then CEB as lead on the T</w:t>
      </w:r>
      <w:r>
        <w:rPr>
          <w:sz w:val="22"/>
          <w:szCs w:val="22"/>
        </w:rPr>
        <w:t>alent Management Lab’s Engagement Project. Ben holds the Ph.D. in Psychology (University of Maryland) and the M.B.A. (Baruch School, CUNY). Ben’s academic accomplishments include more than 150 professional journal articles and book chapters, t</w:t>
      </w:r>
      <w:r w:rsidR="001B2AAE">
        <w:rPr>
          <w:sz w:val="22"/>
          <w:szCs w:val="22"/>
        </w:rPr>
        <w:t>hirteen</w:t>
      </w:r>
      <w:r>
        <w:rPr>
          <w:sz w:val="22"/>
          <w:szCs w:val="22"/>
        </w:rPr>
        <w:t xml:space="preserve"> books and </w:t>
      </w:r>
      <w:proofErr w:type="gramStart"/>
      <w:r>
        <w:rPr>
          <w:sz w:val="22"/>
          <w:szCs w:val="22"/>
        </w:rPr>
        <w:t>appointment</w:t>
      </w:r>
      <w:proofErr w:type="gramEnd"/>
      <w:r>
        <w:rPr>
          <w:sz w:val="22"/>
          <w:szCs w:val="22"/>
        </w:rPr>
        <w:t xml:space="preserve"> to the editorial review boards of seven major professio</w:t>
      </w:r>
      <w:r w:rsidR="00193CCB">
        <w:rPr>
          <w:sz w:val="22"/>
          <w:szCs w:val="22"/>
        </w:rPr>
        <w:t>nal journals. Ben is a Fellow of</w:t>
      </w:r>
      <w:r>
        <w:rPr>
          <w:sz w:val="22"/>
          <w:szCs w:val="22"/>
        </w:rPr>
        <w:t xml:space="preserve"> </w:t>
      </w:r>
      <w:r w:rsidR="001B2AAE">
        <w:rPr>
          <w:sz w:val="22"/>
          <w:szCs w:val="22"/>
        </w:rPr>
        <w:t xml:space="preserve">numerous </w:t>
      </w:r>
      <w:r>
        <w:rPr>
          <w:sz w:val="22"/>
          <w:szCs w:val="22"/>
        </w:rPr>
        <w:t xml:space="preserve">major professional societies where he has </w:t>
      </w:r>
      <w:r w:rsidR="001B2AAE">
        <w:rPr>
          <w:sz w:val="22"/>
          <w:szCs w:val="22"/>
        </w:rPr>
        <w:t xml:space="preserve">also </w:t>
      </w:r>
      <w:r>
        <w:rPr>
          <w:sz w:val="22"/>
          <w:szCs w:val="22"/>
        </w:rPr>
        <w:t xml:space="preserve">won scholarly contributions awards and has numerous “best paper” awards for his publications. </w:t>
      </w:r>
      <w:r w:rsidR="001B2AAE">
        <w:rPr>
          <w:sz w:val="22"/>
          <w:szCs w:val="22"/>
        </w:rPr>
        <w:t>Ben has also consulted widely throughout his career.</w:t>
      </w:r>
    </w:p>
    <w:p w14:paraId="38FDE346" w14:textId="77777777" w:rsidR="00540F98" w:rsidRDefault="00540F98" w:rsidP="00ED67D5">
      <w:pPr>
        <w:pStyle w:val="Default"/>
        <w:rPr>
          <w:sz w:val="22"/>
          <w:szCs w:val="22"/>
        </w:rPr>
      </w:pPr>
    </w:p>
    <w:p w14:paraId="7F04C2E0" w14:textId="77777777" w:rsidR="00540F98" w:rsidRDefault="00540F98" w:rsidP="00ED67D5">
      <w:pPr>
        <w:pStyle w:val="Default"/>
        <w:rPr>
          <w:sz w:val="22"/>
          <w:szCs w:val="22"/>
        </w:rPr>
      </w:pPr>
      <w:r w:rsidRPr="00540F98">
        <w:rPr>
          <w:b/>
          <w:sz w:val="22"/>
          <w:szCs w:val="22"/>
        </w:rPr>
        <w:t>Recent C</w:t>
      </w:r>
      <w:r w:rsidR="00ED67D5" w:rsidRPr="00540F98">
        <w:rPr>
          <w:b/>
          <w:sz w:val="22"/>
          <w:szCs w:val="22"/>
        </w:rPr>
        <w:t>onsulting</w:t>
      </w:r>
      <w:r w:rsidR="00ED67D5">
        <w:rPr>
          <w:sz w:val="22"/>
          <w:szCs w:val="22"/>
        </w:rPr>
        <w:t xml:space="preserve"> </w:t>
      </w:r>
    </w:p>
    <w:p w14:paraId="74B51265" w14:textId="77777777" w:rsidR="00540F98" w:rsidRDefault="00540F98" w:rsidP="00540F98">
      <w:pPr>
        <w:pStyle w:val="Default"/>
        <w:numPr>
          <w:ilvl w:val="0"/>
          <w:numId w:val="8"/>
        </w:numPr>
        <w:rPr>
          <w:sz w:val="22"/>
          <w:szCs w:val="22"/>
        </w:rPr>
      </w:pPr>
      <w:r>
        <w:rPr>
          <w:sz w:val="22"/>
          <w:szCs w:val="22"/>
        </w:rPr>
        <w:t>PDRI for a project on conceptualizing and studying adaptability, resilience and agility across companies</w:t>
      </w:r>
    </w:p>
    <w:p w14:paraId="618F92D1" w14:textId="77777777" w:rsidR="00540F98" w:rsidRDefault="00540F98" w:rsidP="00540F98">
      <w:pPr>
        <w:pStyle w:val="Default"/>
        <w:numPr>
          <w:ilvl w:val="0"/>
          <w:numId w:val="8"/>
        </w:numPr>
        <w:rPr>
          <w:sz w:val="22"/>
          <w:szCs w:val="22"/>
        </w:rPr>
      </w:pPr>
      <w:r>
        <w:rPr>
          <w:sz w:val="22"/>
          <w:szCs w:val="22"/>
        </w:rPr>
        <w:t>T</w:t>
      </w:r>
      <w:r w:rsidR="00ED67D5">
        <w:rPr>
          <w:sz w:val="22"/>
          <w:szCs w:val="22"/>
        </w:rPr>
        <w:t>he Wharton School (University of Pennsylvania) and the Marshall School (USC) for projects on faculty engagement</w:t>
      </w:r>
    </w:p>
    <w:p w14:paraId="5C004BF1" w14:textId="77777777" w:rsidR="00540F98" w:rsidRDefault="00ED67D5" w:rsidP="00540F98">
      <w:pPr>
        <w:pStyle w:val="Default"/>
        <w:numPr>
          <w:ilvl w:val="0"/>
          <w:numId w:val="8"/>
        </w:numPr>
        <w:rPr>
          <w:sz w:val="22"/>
          <w:szCs w:val="22"/>
        </w:rPr>
      </w:pPr>
      <w:r>
        <w:rPr>
          <w:sz w:val="22"/>
          <w:szCs w:val="22"/>
        </w:rPr>
        <w:t>Eli Lilly for projects on service and innovation climate</w:t>
      </w:r>
    </w:p>
    <w:p w14:paraId="126E4B99" w14:textId="77777777" w:rsidR="00ED67D5" w:rsidRDefault="00ED67D5" w:rsidP="00540F98">
      <w:pPr>
        <w:pStyle w:val="Default"/>
        <w:numPr>
          <w:ilvl w:val="0"/>
          <w:numId w:val="8"/>
        </w:numPr>
        <w:rPr>
          <w:sz w:val="22"/>
          <w:szCs w:val="22"/>
        </w:rPr>
      </w:pPr>
      <w:r>
        <w:rPr>
          <w:sz w:val="22"/>
          <w:szCs w:val="22"/>
        </w:rPr>
        <w:t>INGAA</w:t>
      </w:r>
      <w:r w:rsidR="00540F98">
        <w:rPr>
          <w:sz w:val="22"/>
          <w:szCs w:val="22"/>
        </w:rPr>
        <w:t xml:space="preserve"> project on safety culture</w:t>
      </w:r>
      <w:r>
        <w:rPr>
          <w:sz w:val="22"/>
          <w:szCs w:val="22"/>
        </w:rPr>
        <w:t xml:space="preserve"> </w:t>
      </w:r>
    </w:p>
    <w:p w14:paraId="2C56E767" w14:textId="77777777" w:rsidR="00ED67D5" w:rsidRDefault="00ED67D5" w:rsidP="00ED67D5">
      <w:pPr>
        <w:pStyle w:val="Default"/>
        <w:rPr>
          <w:rFonts w:ascii="Times New Roman" w:hAnsi="Times New Roman" w:cs="Times New Roman"/>
          <w:sz w:val="23"/>
          <w:szCs w:val="23"/>
        </w:rPr>
      </w:pPr>
    </w:p>
    <w:p w14:paraId="1CF82473" w14:textId="77777777" w:rsidR="00ED67D5" w:rsidRDefault="00540F98" w:rsidP="00ED67D5">
      <w:pPr>
        <w:pStyle w:val="Default"/>
        <w:rPr>
          <w:sz w:val="22"/>
          <w:szCs w:val="22"/>
        </w:rPr>
      </w:pPr>
      <w:r>
        <w:rPr>
          <w:b/>
          <w:bCs/>
          <w:sz w:val="22"/>
          <w:szCs w:val="22"/>
        </w:rPr>
        <w:t xml:space="preserve">Recent </w:t>
      </w:r>
      <w:r w:rsidR="00ED67D5">
        <w:rPr>
          <w:b/>
          <w:bCs/>
          <w:sz w:val="22"/>
          <w:szCs w:val="22"/>
        </w:rPr>
        <w:t xml:space="preserve">Books </w:t>
      </w:r>
    </w:p>
    <w:p w14:paraId="769B14EF" w14:textId="2A5344FA" w:rsidR="00ED67D5" w:rsidRDefault="00ED67D5" w:rsidP="00ED67D5">
      <w:pPr>
        <w:pStyle w:val="Default"/>
        <w:numPr>
          <w:ilvl w:val="0"/>
          <w:numId w:val="6"/>
        </w:numPr>
        <w:rPr>
          <w:sz w:val="22"/>
          <w:szCs w:val="22"/>
        </w:rPr>
      </w:pPr>
      <w:r>
        <w:rPr>
          <w:sz w:val="22"/>
          <w:szCs w:val="22"/>
        </w:rPr>
        <w:t xml:space="preserve">Macey, W. H., Schneider, B., Barbera, K. M., &amp; Young, S. A. (2009). </w:t>
      </w:r>
      <w:r>
        <w:rPr>
          <w:i/>
          <w:iCs/>
          <w:sz w:val="22"/>
          <w:szCs w:val="22"/>
        </w:rPr>
        <w:t>Employee engagement</w:t>
      </w:r>
      <w:r w:rsidR="00540F98">
        <w:rPr>
          <w:i/>
          <w:iCs/>
          <w:sz w:val="22"/>
          <w:szCs w:val="22"/>
        </w:rPr>
        <w:t xml:space="preserve">: Tools for </w:t>
      </w:r>
      <w:r w:rsidR="001B2AAE">
        <w:rPr>
          <w:i/>
          <w:iCs/>
          <w:sz w:val="22"/>
          <w:szCs w:val="22"/>
        </w:rPr>
        <w:t>a</w:t>
      </w:r>
      <w:r w:rsidR="00540F98">
        <w:rPr>
          <w:i/>
          <w:iCs/>
          <w:sz w:val="22"/>
          <w:szCs w:val="22"/>
        </w:rPr>
        <w:t xml:space="preserve">nalysis, </w:t>
      </w:r>
      <w:r w:rsidR="001B2AAE">
        <w:rPr>
          <w:i/>
          <w:iCs/>
          <w:sz w:val="22"/>
          <w:szCs w:val="22"/>
        </w:rPr>
        <w:t>p</w:t>
      </w:r>
      <w:r w:rsidR="00540F98">
        <w:rPr>
          <w:i/>
          <w:iCs/>
          <w:sz w:val="22"/>
          <w:szCs w:val="22"/>
        </w:rPr>
        <w:t xml:space="preserve">ractice and </w:t>
      </w:r>
      <w:r w:rsidR="001B2AAE">
        <w:rPr>
          <w:i/>
          <w:iCs/>
          <w:sz w:val="22"/>
          <w:szCs w:val="22"/>
        </w:rPr>
        <w:t>c</w:t>
      </w:r>
      <w:r w:rsidR="00540F98">
        <w:rPr>
          <w:i/>
          <w:iCs/>
          <w:sz w:val="22"/>
          <w:szCs w:val="22"/>
        </w:rPr>
        <w:t xml:space="preserve">ompetitive </w:t>
      </w:r>
      <w:r w:rsidR="001B2AAE">
        <w:rPr>
          <w:i/>
          <w:iCs/>
          <w:sz w:val="22"/>
          <w:szCs w:val="22"/>
        </w:rPr>
        <w:t>a</w:t>
      </w:r>
      <w:r w:rsidR="00540F98">
        <w:rPr>
          <w:i/>
          <w:iCs/>
          <w:sz w:val="22"/>
          <w:szCs w:val="22"/>
        </w:rPr>
        <w:t>dvantage.</w:t>
      </w:r>
      <w:r>
        <w:rPr>
          <w:sz w:val="22"/>
          <w:szCs w:val="22"/>
        </w:rPr>
        <w:t xml:space="preserve"> Wiley/Blackwell</w:t>
      </w:r>
    </w:p>
    <w:p w14:paraId="367F07C4" w14:textId="6A949788" w:rsidR="00ED67D5" w:rsidRPr="00ED67D5" w:rsidRDefault="00ED67D5" w:rsidP="00ED67D5">
      <w:pPr>
        <w:pStyle w:val="ListParagraph"/>
        <w:numPr>
          <w:ilvl w:val="0"/>
          <w:numId w:val="5"/>
        </w:numPr>
        <w:autoSpaceDE w:val="0"/>
        <w:autoSpaceDN w:val="0"/>
        <w:adjustRightInd w:val="0"/>
        <w:spacing w:after="27" w:line="240" w:lineRule="auto"/>
        <w:rPr>
          <w:rFonts w:ascii="Calibri" w:hAnsi="Calibri" w:cs="Calibri"/>
          <w:color w:val="000000"/>
        </w:rPr>
      </w:pPr>
      <w:r>
        <w:rPr>
          <w:rFonts w:ascii="Calibri" w:hAnsi="Calibri" w:cs="Calibri"/>
          <w:color w:val="000000"/>
        </w:rPr>
        <w:t>Ehr</w:t>
      </w:r>
      <w:r w:rsidR="00540F98">
        <w:rPr>
          <w:rFonts w:ascii="Calibri" w:hAnsi="Calibri" w:cs="Calibri"/>
          <w:color w:val="000000"/>
        </w:rPr>
        <w:t>h</w:t>
      </w:r>
      <w:r>
        <w:rPr>
          <w:rFonts w:ascii="Calibri" w:hAnsi="Calibri" w:cs="Calibri"/>
          <w:color w:val="000000"/>
        </w:rPr>
        <w:t>a</w:t>
      </w:r>
      <w:r w:rsidRPr="00ED67D5">
        <w:rPr>
          <w:rFonts w:ascii="Calibri" w:hAnsi="Calibri" w:cs="Calibri"/>
          <w:color w:val="000000"/>
        </w:rPr>
        <w:t xml:space="preserve">rt, M. G., Schneider, B., &amp; Macey, W. H. (2014). </w:t>
      </w:r>
      <w:r w:rsidRPr="00ED67D5">
        <w:rPr>
          <w:rFonts w:ascii="Calibri" w:hAnsi="Calibri" w:cs="Calibri"/>
          <w:i/>
          <w:iCs/>
          <w:color w:val="000000"/>
        </w:rPr>
        <w:t>Organizational climate and culture: An introduction to theory, research and practice</w:t>
      </w:r>
      <w:r w:rsidRPr="00ED67D5">
        <w:rPr>
          <w:rFonts w:ascii="Calibri" w:hAnsi="Calibri" w:cs="Calibri"/>
          <w:color w:val="000000"/>
        </w:rPr>
        <w:t xml:space="preserve">. Routledge. </w:t>
      </w:r>
      <w:r w:rsidR="001B2AAE">
        <w:rPr>
          <w:rFonts w:ascii="Calibri" w:hAnsi="Calibri" w:cs="Calibri"/>
          <w:color w:val="000000"/>
        </w:rPr>
        <w:t xml:space="preserve">A second edition </w:t>
      </w:r>
      <w:r w:rsidR="007F193B">
        <w:rPr>
          <w:rFonts w:ascii="Calibri" w:hAnsi="Calibri" w:cs="Calibri"/>
          <w:color w:val="000000"/>
        </w:rPr>
        <w:t xml:space="preserve">of this book </w:t>
      </w:r>
      <w:r w:rsidR="001B2AAE">
        <w:rPr>
          <w:rFonts w:ascii="Calibri" w:hAnsi="Calibri" w:cs="Calibri"/>
          <w:color w:val="000000"/>
        </w:rPr>
        <w:t xml:space="preserve">is </w:t>
      </w:r>
      <w:r w:rsidR="001B2AAE" w:rsidRPr="007F193B">
        <w:rPr>
          <w:rFonts w:ascii="Calibri" w:hAnsi="Calibri" w:cs="Calibri"/>
          <w:i/>
          <w:iCs/>
          <w:color w:val="000000"/>
        </w:rPr>
        <w:t>In Press</w:t>
      </w:r>
      <w:r w:rsidR="001B2AAE">
        <w:rPr>
          <w:rFonts w:ascii="Calibri" w:hAnsi="Calibri" w:cs="Calibri"/>
          <w:color w:val="000000"/>
        </w:rPr>
        <w:t>.</w:t>
      </w:r>
    </w:p>
    <w:p w14:paraId="4259B641" w14:textId="62001EA4" w:rsidR="00ED67D5" w:rsidRDefault="00ED67D5" w:rsidP="00ED67D5">
      <w:pPr>
        <w:pStyle w:val="ListParagraph"/>
        <w:numPr>
          <w:ilvl w:val="0"/>
          <w:numId w:val="5"/>
        </w:numPr>
        <w:autoSpaceDE w:val="0"/>
        <w:autoSpaceDN w:val="0"/>
        <w:adjustRightInd w:val="0"/>
        <w:spacing w:after="0" w:line="240" w:lineRule="auto"/>
        <w:rPr>
          <w:rFonts w:ascii="Calibri" w:hAnsi="Calibri" w:cs="Calibri"/>
          <w:color w:val="000000"/>
        </w:rPr>
      </w:pPr>
      <w:r w:rsidRPr="00ED67D5">
        <w:rPr>
          <w:rFonts w:ascii="Calibri" w:hAnsi="Calibri" w:cs="Calibri"/>
          <w:color w:val="000000"/>
        </w:rPr>
        <w:t xml:space="preserve">Schneider, B., &amp; Barbera, K. M. (Eds.) (2014). </w:t>
      </w:r>
      <w:r w:rsidRPr="00ED67D5">
        <w:rPr>
          <w:rFonts w:ascii="Calibri" w:hAnsi="Calibri" w:cs="Calibri"/>
          <w:i/>
          <w:iCs/>
          <w:color w:val="000000"/>
        </w:rPr>
        <w:t>The Oxford handbook of organizational climate and culture</w:t>
      </w:r>
      <w:r w:rsidRPr="00ED67D5">
        <w:rPr>
          <w:rFonts w:ascii="Calibri" w:hAnsi="Calibri" w:cs="Calibri"/>
          <w:color w:val="000000"/>
        </w:rPr>
        <w:t xml:space="preserve">. Oxford University Press. </w:t>
      </w:r>
    </w:p>
    <w:p w14:paraId="60698C89" w14:textId="75E6FD4E" w:rsidR="001B2AAE" w:rsidRPr="00ED67D5" w:rsidRDefault="001B2AAE" w:rsidP="00ED67D5">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Meyer, J. P., </w:t>
      </w:r>
      <w:r w:rsidR="007F193B">
        <w:rPr>
          <w:rFonts w:ascii="Calibri" w:hAnsi="Calibri" w:cs="Calibri"/>
          <w:color w:val="000000"/>
        </w:rPr>
        <w:t xml:space="preserve">&amp; Schneider, B. (Eds.) (2021). </w:t>
      </w:r>
      <w:r w:rsidR="007F193B" w:rsidRPr="007F193B">
        <w:rPr>
          <w:rFonts w:ascii="Calibri" w:hAnsi="Calibri" w:cs="Calibri"/>
          <w:i/>
          <w:iCs/>
          <w:color w:val="000000"/>
        </w:rPr>
        <w:t>A research agenda for employee engagement in a changing world of work</w:t>
      </w:r>
      <w:r w:rsidR="007F193B">
        <w:rPr>
          <w:rFonts w:ascii="Calibri" w:hAnsi="Calibri" w:cs="Calibri"/>
          <w:color w:val="000000"/>
        </w:rPr>
        <w:t>. Elgar.</w:t>
      </w:r>
    </w:p>
    <w:p w14:paraId="06B1C378" w14:textId="77777777" w:rsidR="00ED67D5" w:rsidRDefault="00ED67D5" w:rsidP="00ED67D5">
      <w:pPr>
        <w:autoSpaceDE w:val="0"/>
        <w:autoSpaceDN w:val="0"/>
        <w:adjustRightInd w:val="0"/>
        <w:spacing w:after="0" w:line="240" w:lineRule="auto"/>
        <w:rPr>
          <w:rFonts w:ascii="Calibri" w:hAnsi="Calibri" w:cs="Calibri"/>
          <w:b/>
          <w:bCs/>
          <w:color w:val="000000"/>
        </w:rPr>
      </w:pPr>
    </w:p>
    <w:p w14:paraId="6CA47CA0" w14:textId="77777777" w:rsidR="00ED67D5" w:rsidRPr="00ED67D5" w:rsidRDefault="00213CF7" w:rsidP="00ED67D5">
      <w:pPr>
        <w:autoSpaceDE w:val="0"/>
        <w:autoSpaceDN w:val="0"/>
        <w:adjustRightInd w:val="0"/>
        <w:spacing w:after="0" w:line="240" w:lineRule="auto"/>
        <w:rPr>
          <w:rFonts w:ascii="Calibri" w:hAnsi="Calibri" w:cs="Calibri"/>
          <w:color w:val="000000"/>
        </w:rPr>
      </w:pPr>
      <w:r>
        <w:rPr>
          <w:rFonts w:ascii="Calibri" w:hAnsi="Calibri" w:cs="Calibri"/>
          <w:b/>
          <w:bCs/>
          <w:color w:val="000000"/>
        </w:rPr>
        <w:t>Recent Articles</w:t>
      </w:r>
      <w:r w:rsidR="00ED67D5" w:rsidRPr="00ED67D5">
        <w:rPr>
          <w:rFonts w:ascii="Calibri" w:hAnsi="Calibri" w:cs="Calibri"/>
          <w:b/>
          <w:bCs/>
          <w:color w:val="000000"/>
        </w:rPr>
        <w:t xml:space="preserve"> </w:t>
      </w:r>
    </w:p>
    <w:p w14:paraId="2C8FA630" w14:textId="343BA815" w:rsidR="007F193B" w:rsidRPr="007F193B" w:rsidRDefault="007F193B" w:rsidP="007F193B">
      <w:pPr>
        <w:pStyle w:val="ListParagraph"/>
        <w:numPr>
          <w:ilvl w:val="0"/>
          <w:numId w:val="5"/>
        </w:numPr>
        <w:spacing w:after="120" w:line="240" w:lineRule="auto"/>
        <w:rPr>
          <w:rFonts w:cstheme="minorHAnsi"/>
        </w:rPr>
      </w:pPr>
      <w:r w:rsidRPr="007F193B">
        <w:rPr>
          <w:rFonts w:eastAsia="Times New Roman" w:cstheme="minorHAnsi"/>
        </w:rPr>
        <w:t xml:space="preserve">Schneider, B. (2021). </w:t>
      </w:r>
      <w:r w:rsidRPr="007F193B">
        <w:rPr>
          <w:rFonts w:cstheme="minorHAnsi"/>
        </w:rPr>
        <w:t xml:space="preserve">People management in work organizations: Fifty years of learnings. </w:t>
      </w:r>
      <w:r w:rsidRPr="007F193B">
        <w:rPr>
          <w:rFonts w:cstheme="minorHAnsi"/>
          <w:i/>
        </w:rPr>
        <w:t>Organizational Dynamics</w:t>
      </w:r>
      <w:r w:rsidRPr="007F193B">
        <w:rPr>
          <w:rFonts w:cstheme="minorHAnsi"/>
        </w:rPr>
        <w:t xml:space="preserve">, </w:t>
      </w:r>
      <w:r w:rsidRPr="007F193B">
        <w:rPr>
          <w:rFonts w:cstheme="minorHAnsi"/>
          <w:i/>
          <w:iCs/>
        </w:rPr>
        <w:t>50</w:t>
      </w:r>
      <w:r w:rsidRPr="007F193B">
        <w:rPr>
          <w:rFonts w:cstheme="minorHAnsi"/>
        </w:rPr>
        <w:t xml:space="preserve">, 2-9. </w:t>
      </w:r>
      <w:hyperlink r:id="rId5" w:history="1">
        <w:r w:rsidRPr="00ED0FCE">
          <w:rPr>
            <w:rStyle w:val="Hyperlink"/>
            <w:rFonts w:cstheme="minorHAnsi"/>
          </w:rPr>
          <w:t>https://doi.org/10.1016/j.orgdyn.2020.100789</w:t>
        </w:r>
      </w:hyperlink>
    </w:p>
    <w:p w14:paraId="4D61C119" w14:textId="0379ABC0" w:rsidR="007F193B" w:rsidRPr="007F193B" w:rsidRDefault="007F193B" w:rsidP="007F193B">
      <w:pPr>
        <w:pStyle w:val="ListParagraph"/>
        <w:numPr>
          <w:ilvl w:val="0"/>
          <w:numId w:val="5"/>
        </w:numPr>
        <w:spacing w:after="120" w:line="240" w:lineRule="auto"/>
        <w:rPr>
          <w:rFonts w:ascii="Times New Roman" w:eastAsia="Times New Roman" w:hAnsi="Times New Roman" w:cs="Times New Roman"/>
          <w:sz w:val="24"/>
          <w:szCs w:val="24"/>
        </w:rPr>
      </w:pPr>
      <w:r w:rsidRPr="007F193B">
        <w:rPr>
          <w:rFonts w:cstheme="minorHAnsi"/>
        </w:rPr>
        <w:t xml:space="preserve">Schneider, B., &amp; Pulakos, E. D. (2022). </w:t>
      </w:r>
      <w:bookmarkStart w:id="0" w:name="_Hlk64199783"/>
      <w:r w:rsidRPr="007F193B">
        <w:rPr>
          <w:rFonts w:eastAsia="Times New Roman" w:cstheme="minorHAnsi"/>
        </w:rPr>
        <w:t>Expanding the I-O mind-set to organizational success</w:t>
      </w:r>
      <w:bookmarkEnd w:id="0"/>
      <w:r w:rsidRPr="007F193B">
        <w:rPr>
          <w:rFonts w:eastAsia="Times New Roman" w:cstheme="minorHAnsi"/>
        </w:rPr>
        <w:t xml:space="preserve">. </w:t>
      </w:r>
      <w:r w:rsidRPr="007F193B">
        <w:rPr>
          <w:rFonts w:ascii="Times New Roman" w:eastAsia="Times New Roman" w:hAnsi="Times New Roman" w:cs="Times New Roman"/>
          <w:i/>
          <w:iCs/>
          <w:sz w:val="24"/>
          <w:szCs w:val="24"/>
        </w:rPr>
        <w:t xml:space="preserve">Industrial and Organizational Psychology: Perspectives on Science and Practice, </w:t>
      </w:r>
      <w:r w:rsidRPr="007F193B">
        <w:rPr>
          <w:rFonts w:eastAsia="Times New Roman" w:cstheme="minorHAnsi"/>
          <w:i/>
          <w:iCs/>
        </w:rPr>
        <w:t xml:space="preserve">15, </w:t>
      </w:r>
      <w:r w:rsidRPr="007F193B">
        <w:rPr>
          <w:rFonts w:eastAsia="Times New Roman" w:cstheme="minorHAnsi"/>
        </w:rPr>
        <w:t xml:space="preserve">385-402. </w:t>
      </w:r>
      <w:hyperlink r:id="rId6" w:tgtFrame="_blank" w:history="1">
        <w:r w:rsidRPr="007F193B">
          <w:rPr>
            <w:rFonts w:eastAsia="Times New Roman" w:cstheme="minorHAnsi"/>
            <w:color w:val="003399"/>
            <w:u w:val="single"/>
          </w:rPr>
          <w:t>https://doi.org/10.1017/iop.2022.27</w:t>
        </w:r>
      </w:hyperlink>
    </w:p>
    <w:p w14:paraId="3A39ADC1" w14:textId="149C8C8E" w:rsidR="007F193B" w:rsidRPr="00D96061" w:rsidRDefault="007F193B" w:rsidP="007F193B">
      <w:pPr>
        <w:pStyle w:val="ListParagraph"/>
        <w:numPr>
          <w:ilvl w:val="0"/>
          <w:numId w:val="7"/>
        </w:numPr>
        <w:spacing w:after="120" w:line="240" w:lineRule="auto"/>
        <w:rPr>
          <w:rFonts w:eastAsia="Times New Roman" w:cstheme="minorHAnsi"/>
        </w:rPr>
      </w:pPr>
      <w:r w:rsidRPr="007F193B">
        <w:rPr>
          <w:rFonts w:eastAsia="Times New Roman" w:cstheme="minorHAnsi"/>
        </w:rPr>
        <w:t xml:space="preserve">Guzzo, R. A., Schneider, B., &amp; Nalbantian, H. R. (2022). Open science, closed doors: The perils and potential of open science for research-in-practice. </w:t>
      </w:r>
      <w:r w:rsidRPr="007F193B">
        <w:rPr>
          <w:rFonts w:ascii="Times New Roman" w:eastAsia="Times New Roman" w:hAnsi="Times New Roman" w:cs="Times New Roman"/>
          <w:i/>
          <w:iCs/>
          <w:sz w:val="24"/>
          <w:szCs w:val="24"/>
        </w:rPr>
        <w:t xml:space="preserve">Industrial and Organizational Psychology: Perspectives on Science and Practice, </w:t>
      </w:r>
      <w:r w:rsidRPr="007F193B">
        <w:rPr>
          <w:rFonts w:eastAsia="Times New Roman" w:cstheme="minorHAnsi"/>
          <w:i/>
          <w:iCs/>
        </w:rPr>
        <w:t xml:space="preserve">15, </w:t>
      </w:r>
      <w:r w:rsidRPr="007F193B">
        <w:rPr>
          <w:rFonts w:eastAsia="Times New Roman" w:cstheme="minorHAnsi"/>
        </w:rPr>
        <w:t>495-515.  </w:t>
      </w:r>
      <w:hyperlink r:id="rId7" w:tgtFrame="_blank" w:history="1">
        <w:r w:rsidRPr="007F193B">
          <w:rPr>
            <w:rFonts w:eastAsia="Times New Roman" w:cstheme="minorHAnsi"/>
            <w:color w:val="003399"/>
            <w:u w:val="single"/>
          </w:rPr>
          <w:t>https://doi.org/10.1017/iop.2022.61</w:t>
        </w:r>
      </w:hyperlink>
    </w:p>
    <w:p w14:paraId="27916E20" w14:textId="51CB9E81" w:rsidR="00213CF7" w:rsidRPr="007F193B" w:rsidRDefault="007F193B" w:rsidP="007F193B">
      <w:pPr>
        <w:pStyle w:val="PlainText"/>
        <w:numPr>
          <w:ilvl w:val="0"/>
          <w:numId w:val="7"/>
        </w:numPr>
        <w:rPr>
          <w:sz w:val="22"/>
          <w:szCs w:val="22"/>
        </w:rPr>
      </w:pPr>
      <w:r w:rsidRPr="007F193B">
        <w:rPr>
          <w:rFonts w:asciiTheme="minorHAnsi" w:eastAsia="Times New Roman" w:hAnsiTheme="minorHAnsi" w:cstheme="minorHAnsi"/>
          <w:sz w:val="22"/>
          <w:szCs w:val="22"/>
          <w:lang w:val="en-US" w:eastAsia="en-US"/>
        </w:rPr>
        <w:t xml:space="preserve">Kristof-Brown, A., Schneider, B., &amp; Su, R. (2023). Person‐organization fit theory and research: Conundrums, conclusions, and calls to action. </w:t>
      </w:r>
      <w:r w:rsidRPr="007F193B">
        <w:rPr>
          <w:rFonts w:asciiTheme="minorHAnsi" w:eastAsia="Times New Roman" w:hAnsiTheme="minorHAnsi" w:cstheme="minorHAnsi"/>
          <w:i/>
          <w:iCs/>
          <w:sz w:val="22"/>
          <w:szCs w:val="22"/>
          <w:lang w:val="en-US" w:eastAsia="en-US"/>
        </w:rPr>
        <w:t>Personnel Psychology, 76</w:t>
      </w:r>
      <w:r w:rsidRPr="007F193B">
        <w:rPr>
          <w:rFonts w:asciiTheme="minorHAnsi" w:eastAsia="Times New Roman" w:hAnsiTheme="minorHAnsi" w:cstheme="minorHAnsi"/>
          <w:sz w:val="22"/>
          <w:szCs w:val="22"/>
          <w:lang w:val="en-US" w:eastAsia="en-US"/>
        </w:rPr>
        <w:t xml:space="preserve">(2), 375-412. </w:t>
      </w:r>
      <w:hyperlink r:id="rId8" w:tgtFrame="_blank" w:history="1">
        <w:r w:rsidRPr="007F193B">
          <w:rPr>
            <w:rFonts w:asciiTheme="minorHAnsi" w:eastAsia="Times New Roman" w:hAnsiTheme="minorHAnsi" w:cstheme="minorHAnsi"/>
            <w:color w:val="003399"/>
            <w:sz w:val="22"/>
            <w:szCs w:val="22"/>
            <w:u w:val="single"/>
            <w:lang w:val="en-US" w:eastAsia="en-US"/>
          </w:rPr>
          <w:t>https://doi.org/10.1111/peps.12581</w:t>
        </w:r>
      </w:hyperlink>
    </w:p>
    <w:sectPr w:rsidR="00213CF7" w:rsidRPr="007F193B" w:rsidSect="00ED67D5">
      <w:type w:val="continuous"/>
      <w:pgSz w:w="12240" w:h="16340"/>
      <w:pgMar w:top="1989" w:right="1123" w:bottom="1440"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69E"/>
    <w:multiLevelType w:val="hybridMultilevel"/>
    <w:tmpl w:val="7786E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A4553"/>
    <w:multiLevelType w:val="hybridMultilevel"/>
    <w:tmpl w:val="E3342E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9B41F6"/>
    <w:multiLevelType w:val="hybridMultilevel"/>
    <w:tmpl w:val="1172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E09AC"/>
    <w:multiLevelType w:val="hybridMultilevel"/>
    <w:tmpl w:val="E9D41B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4D215E4"/>
    <w:multiLevelType w:val="hybridMultilevel"/>
    <w:tmpl w:val="ED2C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1240C"/>
    <w:multiLevelType w:val="hybridMultilevel"/>
    <w:tmpl w:val="490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CB880"/>
    <w:multiLevelType w:val="hybridMultilevel"/>
    <w:tmpl w:val="C59276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3EF157B"/>
    <w:multiLevelType w:val="hybridMultilevel"/>
    <w:tmpl w:val="64C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51E4C"/>
    <w:multiLevelType w:val="hybridMultilevel"/>
    <w:tmpl w:val="155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358508">
    <w:abstractNumId w:val="6"/>
  </w:num>
  <w:num w:numId="2" w16cid:durableId="727145787">
    <w:abstractNumId w:val="3"/>
  </w:num>
  <w:num w:numId="3" w16cid:durableId="1528830683">
    <w:abstractNumId w:val="1"/>
  </w:num>
  <w:num w:numId="4" w16cid:durableId="1068649080">
    <w:abstractNumId w:val="4"/>
  </w:num>
  <w:num w:numId="5" w16cid:durableId="325281637">
    <w:abstractNumId w:val="8"/>
  </w:num>
  <w:num w:numId="6" w16cid:durableId="1014309663">
    <w:abstractNumId w:val="2"/>
  </w:num>
  <w:num w:numId="7" w16cid:durableId="1055469260">
    <w:abstractNumId w:val="0"/>
  </w:num>
  <w:num w:numId="8" w16cid:durableId="1276521539">
    <w:abstractNumId w:val="7"/>
  </w:num>
  <w:num w:numId="9" w16cid:durableId="1058165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D5"/>
    <w:rsid w:val="00193CCB"/>
    <w:rsid w:val="001B2AAE"/>
    <w:rsid w:val="00213CF7"/>
    <w:rsid w:val="002A049B"/>
    <w:rsid w:val="003865B7"/>
    <w:rsid w:val="00540F98"/>
    <w:rsid w:val="006A3889"/>
    <w:rsid w:val="007F193B"/>
    <w:rsid w:val="00AD3BD5"/>
    <w:rsid w:val="00C87096"/>
    <w:rsid w:val="00D65AFF"/>
    <w:rsid w:val="00D96061"/>
    <w:rsid w:val="00E327E0"/>
    <w:rsid w:val="00ED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92CA"/>
  <w15:chartTrackingRefBased/>
  <w15:docId w15:val="{C3260FDE-0E9E-4FF0-B57C-E455819F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7D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D67D5"/>
    <w:pPr>
      <w:ind w:left="720"/>
      <w:contextualSpacing/>
    </w:pPr>
  </w:style>
  <w:style w:type="paragraph" w:styleId="PlainText">
    <w:name w:val="Plain Text"/>
    <w:basedOn w:val="Normal"/>
    <w:link w:val="PlainTextChar"/>
    <w:uiPriority w:val="99"/>
    <w:unhideWhenUsed/>
    <w:rsid w:val="00213CF7"/>
    <w:pPr>
      <w:spacing w:after="0" w:line="240" w:lineRule="auto"/>
      <w:ind w:left="547" w:hanging="547"/>
    </w:pPr>
    <w:rPr>
      <w:rFonts w:ascii="Calibri" w:eastAsia="Calibri" w:hAnsi="Calibri" w:cs="Times New Roman"/>
      <w:sz w:val="20"/>
      <w:szCs w:val="20"/>
      <w:lang w:val="en-AU" w:eastAsia="en-AU"/>
    </w:rPr>
  </w:style>
  <w:style w:type="character" w:customStyle="1" w:styleId="PlainTextChar">
    <w:name w:val="Plain Text Char"/>
    <w:basedOn w:val="DefaultParagraphFont"/>
    <w:link w:val="PlainText"/>
    <w:uiPriority w:val="99"/>
    <w:rsid w:val="00213CF7"/>
    <w:rPr>
      <w:rFonts w:ascii="Calibri" w:eastAsia="Calibri" w:hAnsi="Calibri" w:cs="Times New Roman"/>
      <w:sz w:val="20"/>
      <w:szCs w:val="20"/>
      <w:lang w:val="en-AU" w:eastAsia="en-AU"/>
    </w:rPr>
  </w:style>
  <w:style w:type="paragraph" w:styleId="NormalWeb">
    <w:name w:val="Normal (Web)"/>
    <w:basedOn w:val="Normal"/>
    <w:uiPriority w:val="99"/>
    <w:semiHidden/>
    <w:unhideWhenUsed/>
    <w:rsid w:val="007F193B"/>
    <w:rPr>
      <w:rFonts w:ascii="Times New Roman" w:hAnsi="Times New Roman" w:cs="Times New Roman"/>
      <w:sz w:val="24"/>
      <w:szCs w:val="24"/>
    </w:rPr>
  </w:style>
  <w:style w:type="character" w:styleId="Hyperlink">
    <w:name w:val="Hyperlink"/>
    <w:basedOn w:val="DefaultParagraphFont"/>
    <w:uiPriority w:val="99"/>
    <w:unhideWhenUsed/>
    <w:rsid w:val="007F193B"/>
    <w:rPr>
      <w:color w:val="0563C1" w:themeColor="hyperlink"/>
      <w:u w:val="single"/>
    </w:rPr>
  </w:style>
  <w:style w:type="character" w:styleId="UnresolvedMention">
    <w:name w:val="Unresolved Mention"/>
    <w:basedOn w:val="DefaultParagraphFont"/>
    <w:uiPriority w:val="99"/>
    <w:semiHidden/>
    <w:unhideWhenUsed/>
    <w:rsid w:val="007F1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111/peps.12581" TargetMode="External"/><Relationship Id="rId3" Type="http://schemas.openxmlformats.org/officeDocument/2006/relationships/settings" Target="settings.xml"/><Relationship Id="rId7" Type="http://schemas.openxmlformats.org/officeDocument/2006/relationships/hyperlink" Target="https://doi.org/10.1017/iop.2022.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doi/10.1017/iop.2022.27" TargetMode="External"/><Relationship Id="rId5" Type="http://schemas.openxmlformats.org/officeDocument/2006/relationships/hyperlink" Target="https://doi.org/10.1016/j.orgdyn.2020.1007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Schneider</dc:creator>
  <cp:keywords/>
  <dc:description/>
  <cp:lastModifiedBy>Benjamin Schneider</cp:lastModifiedBy>
  <cp:revision>2</cp:revision>
  <dcterms:created xsi:type="dcterms:W3CDTF">2024-09-13T18:32:00Z</dcterms:created>
  <dcterms:modified xsi:type="dcterms:W3CDTF">2024-09-13T18:32:00Z</dcterms:modified>
</cp:coreProperties>
</file>